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</w:pPr>
      <w:r>
        <w:rPr>
          <w:rStyle w:val="Bold"/>
          <w:b/>
        </w:rPr>
        <w:t xml:space="preserve">Карта заказа </w:t>
      </w:r>
      <w:r>
        <w:rPr>
          <w:rStyle w:val="Bold"/>
          <w:b/>
        </w:rPr>
        <w:t>ЭКРА 2</w:t>
      </w:r>
      <w:r>
        <w:rPr>
          <w:rStyle w:val="Bold"/>
          <w:b/>
        </w:rPr>
        <w:t>4</w:t>
      </w:r>
      <w:r>
        <w:rPr>
          <w:rStyle w:val="Bold"/>
          <w:b/>
        </w:rPr>
        <w:t>7</w:t>
      </w:r>
      <w:r>
        <w:rPr>
          <w:rStyle w:val="Bold"/>
          <w:b/>
        </w:rPr>
        <w:t>(А)</w:t>
      </w:r>
      <w:r>
        <w:rPr>
          <w:rStyle w:val="Bold"/>
          <w:b/>
        </w:rPr>
        <w:t xml:space="preserve"> 0</w:t>
      </w:r>
      <w:r>
        <w:rPr>
          <w:rStyle w:val="Bold"/>
          <w:b/>
        </w:rPr>
        <w:t>305</w:t>
      </w:r>
    </w:p>
    <w:p>
      <w:pPr>
        <w:pStyle w:val="designation"/>
        <w:rPr>
          <w:rStyle w:val="Bold"/>
          <w:b w:val="0"/>
          <w:sz w:val="20"/>
          <w:szCs w:val="20"/>
        </w:rPr>
      </w:pPr>
      <w:r>
        <w:rPr>
          <w:rStyle w:val="Bold"/>
          <w:b w:val="0"/>
          <w:sz w:val="20"/>
          <w:szCs w:val="20"/>
        </w:rPr>
        <w:t xml:space="preserve">(терминал </w:t>
      </w:r>
      <w:r>
        <w:rPr>
          <w:rStyle w:val="Bold"/>
          <w:b w:val="0"/>
          <w:sz w:val="20"/>
          <w:szCs w:val="20"/>
        </w:rPr>
        <w:t>управления c функциями контроллера ячейки, релейной защиты, автоматики и сигнализации линии к электродвигателю мощностью менее 5МВт</w:t>
      </w:r>
      <w:r>
        <w:rPr>
          <w:rStyle w:val="Bold"/>
          <w:b w:val="0"/>
          <w:sz w:val="20"/>
          <w:szCs w:val="20"/>
        </w:rPr>
        <w:t>)</w:t>
      </w:r>
    </w:p>
    <w:p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>
        <w:t xml:space="preserve"> 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usual"/>
              <w:jc w:val="right"/>
            </w:pPr>
            <w:r>
              <w:t>Место установки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>
                <w:pPr>
                  <w:pStyle w:val="usual"/>
                  <w:rPr>
                    <w:b w:val="0"/>
                  </w:rPr>
                </w:pPr>
                <w:r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</w:pPr>
            <w:r>
              <w:rPr>
                <w:sz w:val="14"/>
              </w:rPr>
              <w:t>(кВ)</w:t>
            </w:r>
          </w:p>
        </w:tc>
      </w:tr>
      <w:t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  <w:rPr>
                <w:sz w:val="14"/>
              </w:rPr>
            </w:pPr>
            <w:r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4"/>
        <w:gridCol w:w="2249"/>
        <w:gridCol w:w="825"/>
        <w:gridCol w:w="634"/>
        <w:gridCol w:w="1094"/>
        <w:gridCol w:w="478"/>
        <w:gridCol w:w="22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>
        <w:trPr>
          <w:trHeight w:val="32"/>
        </w:trPr>
        <w:tc>
          <w:tcPr>
            <w:tcW w:w="2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7089982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101"/>
              <w:ind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 0305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  <w:t>(типовое исполнение)</w:t>
            </w:r>
          </w:p>
        </w:tc>
      </w:tr>
      <w:tr>
        <w:trPr>
          <w:trHeight w:val="38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расширенный УХЛ3.1 </w:t>
            </w:r>
          </w:p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(до -40°С, без дисплея)</w:t>
            </w:r>
          </w:p>
        </w:tc>
      </w:tr>
      <w:tr>
        <w:trPr>
          <w:trHeight w:val="425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6915925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247А 0305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63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.25pt" o:ole="">
                  <v:imagedata r:id="rId8" o:title=""/>
                </v:shape>
                <o:OLEObject Type="Embed" ProgID="Visio.Drawing.11" ShapeID="_x0000_i1025" DrawAspect="Content" ObjectID="_1642833977" r:id="rId9"/>
              </w:object>
            </w:r>
          </w:p>
          <w:p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  <w:r>
              <w:rPr>
                <w:sz w:val="16"/>
                <w:szCs w:val="16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  <w:r>
        <w:rPr>
          <w:sz w:val="20"/>
          <w:vertAlign w:val="superscript"/>
        </w:rPr>
        <w:t>*</w:t>
      </w:r>
    </w:p>
    <w:p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>
        <w:tc>
          <w:tcPr>
            <w:tcW w:w="6629" w:type="dxa"/>
            <w:gridSpan w:val="3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типовое)</w:t>
            </w:r>
          </w:p>
        </w:tc>
      </w:tr>
      <w:tr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IP52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IP</w:t>
            </w:r>
            <w:r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терминала в целом при использовании дополнительного защитного каркаса; кроме входных и выходных зажимов для подключения проводников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  <w:r>
        <w:rPr>
          <w:rFonts w:cs="Arial"/>
          <w:szCs w:val="20"/>
          <w:vertAlign w:val="superscript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>
        <w:tc>
          <w:tcPr>
            <w:tcW w:w="5637" w:type="dxa"/>
            <w:gridSpan w:val="2"/>
            <w:vAlign w:val="center"/>
          </w:tcPr>
          <w:p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Классификационное обозначение по НП-001-15</w:t>
            </w:r>
          </w:p>
        </w:tc>
      </w:tr>
      <w:tr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>
        <w:trPr>
          <w:trHeight w:val="294"/>
        </w:trPr>
        <w:tc>
          <w:tcPr>
            <w:tcW w:w="5637" w:type="dxa"/>
            <w:gridSpan w:val="2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33" type="#_x0000_t75" style="width:98.25pt;height:4.5pt" o:ole="">
                  <v:imagedata r:id="rId8" o:title=""/>
                </v:shape>
                <o:OLEObject Type="Embed" ProgID="Visio.Drawing.11" ShapeID="_x0000_i1033" DrawAspect="Content" ObjectID="_1642833978" r:id="rId10"/>
              </w:object>
            </w:r>
          </w:p>
          <w:p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819"/>
      </w:tblGrid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>
        <w:tc>
          <w:tcPr>
            <w:tcW w:w="222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3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9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1333419512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2036" w:dyaOrig="170">
                <v:shape id="_x0000_i1027" type="#_x0000_t75" style="width:98.25pt;height:3pt" o:ole="">
                  <v:imagedata r:id="rId8" o:title=""/>
                </v:shape>
                <o:OLEObject Type="Embed" ProgID="Visio.Drawing.11" ShapeID="_x0000_i1027" DrawAspect="Content" ObjectID="_1642833979" r:id="rId11"/>
              </w:object>
            </w:r>
          </w:p>
          <w:p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>
              <w:rPr>
                <w:sz w:val="14"/>
                <w:szCs w:val="14"/>
              </w:rPr>
              <w:t>релейщика</w:t>
            </w:r>
            <w:proofErr w:type="spellEnd"/>
            <w:r>
              <w:rPr>
                <w:sz w:val="14"/>
                <w:szCs w:val="14"/>
              </w:rPr>
              <w:t>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/>
          <w:sz w:val="20"/>
        </w:rPr>
      </w:pPr>
      <w:r>
        <w:rPr>
          <w:sz w:val="20"/>
          <w:szCs w:val="20"/>
        </w:rPr>
        <w:t>Параметры</w:t>
      </w:r>
      <w:r>
        <w:rPr>
          <w:sz w:val="20"/>
        </w:rPr>
        <w:t xml:space="preserve"> защищаемого объекта</w:t>
      </w:r>
      <w:r>
        <w:rPr>
          <w:sz w:val="20"/>
        </w:rPr>
        <w:t xml:space="preserve"> </w:t>
      </w:r>
    </w:p>
    <w:p>
      <w:pPr>
        <w:pStyle w:val="usual"/>
        <w:numPr>
          <w:ilvl w:val="1"/>
          <w:numId w:val="20"/>
        </w:numPr>
        <w:tabs>
          <w:tab w:val="left" w:pos="284"/>
          <w:tab w:val="left" w:pos="426"/>
        </w:tabs>
        <w:spacing w:line="240" w:lineRule="auto"/>
        <w:ind w:left="0" w:firstLine="0"/>
        <w:rPr>
          <w:b/>
          <w:sz w:val="20"/>
        </w:rPr>
      </w:pPr>
      <w:r>
        <w:rPr>
          <w:sz w:val="20"/>
        </w:rPr>
        <w:t xml:space="preserve"> Данные для реализации защиты от замыканий на землю</w:t>
      </w:r>
      <w:r>
        <w:rPr>
          <w:sz w:val="20"/>
          <w:vertAlign w:val="superscript"/>
        </w:rPr>
        <w:t>*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62"/>
        <w:gridCol w:w="845"/>
        <w:gridCol w:w="312"/>
        <w:gridCol w:w="3143"/>
        <w:gridCol w:w="708"/>
        <w:gridCol w:w="13"/>
      </w:tblGrid>
      <w:tr>
        <w:trPr>
          <w:trHeight w:val="244"/>
        </w:trPr>
        <w:tc>
          <w:tcPr>
            <w:tcW w:w="464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Режим заземления нейтрали сети</w:t>
            </w:r>
          </w:p>
        </w:tc>
        <w:sdt>
          <w:sdtPr>
            <w:rPr>
              <w:rFonts w:cs="Arial"/>
              <w:sz w:val="20"/>
              <w:szCs w:val="20"/>
            </w:rPr>
            <w:id w:val="-1560937119"/>
            <w:showingPlcHdr/>
            <w:comboBox>
              <w:listItem w:value="Выберите элемент."/>
              <w:listItem w:displayText="изолированная" w:value="изолированная"/>
              <w:listItem w:displayText="резистивная" w:value="резистивная"/>
              <w:listItem w:displayText="компенсированная" w:value="компенсированная"/>
            </w:comboBox>
          </w:sdtPr>
          <w:sdtContent>
            <w:tc>
              <w:tcPr>
                <w:tcW w:w="5683" w:type="dxa"/>
                <w:gridSpan w:val="6"/>
                <w:shd w:val="clear" w:color="auto" w:fill="auto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af3"/>
                  </w:rPr>
                  <w:t>Выберите элемент.</w:t>
                </w:r>
              </w:p>
            </w:tc>
          </w:sdtContent>
        </w:sdt>
      </w:tr>
      <w:tr>
        <w:trPr>
          <w:trHeight w:val="284"/>
        </w:trPr>
        <w:tc>
          <w:tcPr>
            <w:tcW w:w="464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Первичный ток замыкания на землю, А</w:t>
            </w:r>
          </w:p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(при наличии соответствующего расчета)</w:t>
            </w:r>
          </w:p>
        </w:tc>
        <w:sdt>
          <w:sdtPr>
            <w:alias w:val="Тип защищаемого объекта"/>
            <w:tag w:val="Тип защищаемого объекта"/>
            <w:id w:val="-311104651"/>
            <w:showingPlcHdr/>
            <w:text/>
          </w:sdtPr>
          <w:sdtContent>
            <w:tc>
              <w:tcPr>
                <w:tcW w:w="568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rPr>
          <w:gridAfter w:val="1"/>
          <w:wAfter w:w="13" w:type="dxa"/>
          <w:trHeight w:val="68"/>
        </w:trPr>
        <w:tc>
          <w:tcPr>
            <w:tcW w:w="464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Подключение защиты от замыканий на землю</w:t>
            </w:r>
          </w:p>
        </w:tc>
        <w:sdt>
          <w:sdtPr>
            <w:alias w:val="ФТНП"/>
            <w:tag w:val="ФТНП"/>
            <w:id w:val="-508602684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662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 ФТНП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>
        <w:trPr>
          <w:gridAfter w:val="1"/>
          <w:wAfter w:w="13" w:type="dxa"/>
          <w:trHeight w:val="108"/>
        </w:trPr>
        <w:tc>
          <w:tcPr>
            <w:tcW w:w="464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alias w:val="ТТНП"/>
            <w:tag w:val="ТТНП"/>
            <w:id w:val="-121196541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66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к ТТНП</w:t>
            </w:r>
            <w:r>
              <w:rPr>
                <w:rFonts w:cs="Arial"/>
              </w:rPr>
              <w:t xml:space="preserve"> (типовое)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>
        <w:trPr>
          <w:gridAfter w:val="1"/>
          <w:wAfter w:w="13" w:type="dxa"/>
          <w:trHeight w:val="108"/>
        </w:trPr>
        <w:tc>
          <w:tcPr>
            <w:tcW w:w="464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Тип ТТНП:</w:t>
            </w:r>
            <w:r>
              <w:t xml:space="preserve"> </w:t>
            </w:r>
            <w:sdt>
              <w:sdtPr>
                <w:alias w:val="Тип защищаемого объекта"/>
                <w:tag w:val="Тип защищаемого объекта"/>
                <w:id w:val="1916587291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573"/>
        </w:trPr>
        <w:tc>
          <w:tcPr>
            <w:tcW w:w="464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Коэффициент трансформации ТТНП </w:t>
            </w:r>
            <w:r>
              <w:rPr>
                <w:rFonts w:cs="Arial"/>
              </w:rPr>
              <w:t>(</w:t>
            </w:r>
            <w:r>
              <w:rPr>
                <w:rFonts w:cs="Arial"/>
                <w:lang w:val="en-US"/>
              </w:rPr>
              <w:t>w</w:t>
            </w:r>
            <w:r>
              <w:rPr>
                <w:rFonts w:cs="Arial"/>
              </w:rPr>
              <w:t>2/</w:t>
            </w:r>
            <w:r>
              <w:rPr>
                <w:rFonts w:cs="Arial"/>
                <w:lang w:val="en-US"/>
              </w:rPr>
              <w:t>w</w:t>
            </w:r>
            <w:r>
              <w:rPr>
                <w:rFonts w:cs="Arial"/>
              </w:rPr>
              <w:t>1)</w:t>
            </w:r>
          </w:p>
        </w:tc>
        <w:sdt>
          <w:sdtPr>
            <w:rPr>
              <w:sz w:val="20"/>
              <w:szCs w:val="20"/>
            </w:rPr>
            <w:alias w:val="Iвв первич"/>
            <w:tag w:val="Iвв первич"/>
            <w:id w:val="62923575"/>
            <w:showingPlcHdr/>
            <w:text/>
          </w:sdtPr>
          <w:sdtContent>
            <w:tc>
              <w:tcPr>
                <w:tcW w:w="1507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pStyle w:val="usual"/>
                  <w:ind w:firstLin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usu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alias w:val="Iвв втор"/>
            <w:tag w:val="Iвв втор"/>
            <w:id w:val="1219087454"/>
            <w:showingPlcHdr/>
            <w:text/>
          </w:sdtPr>
          <w:sdtContent>
            <w:tc>
              <w:tcPr>
                <w:tcW w:w="3864" w:type="dxa"/>
                <w:gridSpan w:val="3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pStyle w:val="usual"/>
                  <w:ind w:firstLine="0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284"/>
        </w:trPr>
        <w:tc>
          <w:tcPr>
            <w:tcW w:w="1032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8"/>
                <w:szCs w:val="8"/>
              </w:rPr>
            </w:pPr>
            <w:r>
              <w:object w:dxaOrig="2036" w:dyaOrig="170">
                <v:shape id="_x0000_i1028" type="#_x0000_t75" style="width:98.25pt;height:4.5pt" o:ole="">
                  <v:imagedata r:id="rId8" o:title=""/>
                </v:shape>
                <o:OLEObject Type="Embed" ProgID="Visio.Drawing.11" ShapeID="_x0000_i1028" DrawAspect="Content" ObjectID="_1642833980" r:id="rId12"/>
              </w:object>
            </w:r>
          </w:p>
          <w:p>
            <w:pPr>
              <w:spacing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*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Заполняется при задействовании защиты от однофазных замыканий на землю (ЗОЗЗ-1)</w:t>
            </w:r>
            <w:r>
              <w:rPr>
                <w:rFonts w:cs="Arial"/>
                <w:sz w:val="16"/>
                <w:szCs w:val="20"/>
              </w:rPr>
              <w:t>.</w:t>
            </w:r>
          </w:p>
        </w:tc>
      </w:tr>
    </w:tbl>
    <w:p>
      <w:pPr>
        <w:pStyle w:val="usual"/>
        <w:rPr>
          <w:sz w:val="8"/>
          <w:szCs w:val="8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>
        <w:rPr>
          <w:sz w:val="20"/>
        </w:rPr>
        <w:t xml:space="preserve">Характеристики </w:t>
      </w:r>
      <w:r>
        <w:rPr>
          <w:sz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1417"/>
        <w:gridCol w:w="708"/>
        <w:gridCol w:w="5670"/>
      </w:tblGrid>
      <w:tr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А</w:t>
            </w:r>
          </w:p>
        </w:tc>
      </w:tr>
      <w:tr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0,2 А </w:t>
            </w:r>
            <w:r>
              <w:rPr>
                <w:rFonts w:cs="Arial"/>
                <w:i/>
                <w:sz w:val="20"/>
                <w:szCs w:val="20"/>
              </w:rPr>
              <w:t>диапазон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0,001 до </w:t>
            </w:r>
            <w:r>
              <w:rPr>
                <w:rFonts w:cs="Arial"/>
                <w:i/>
                <w:sz w:val="20"/>
                <w:szCs w:val="20"/>
              </w:rPr>
              <w:t>0,5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0,6 А (типовой) </w:t>
            </w:r>
            <w:r>
              <w:rPr>
                <w:rFonts w:cs="Arial"/>
                <w:i/>
                <w:sz w:val="20"/>
                <w:szCs w:val="20"/>
              </w:rPr>
              <w:t>диапазон</w:t>
            </w:r>
            <w:r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>
              <w:rPr>
                <w:rFonts w:cs="Arial"/>
                <w:i/>
                <w:sz w:val="20"/>
                <w:szCs w:val="20"/>
              </w:rPr>
              <w:t>0,003</w:t>
            </w:r>
            <w:r>
              <w:rPr>
                <w:rFonts w:cs="Arial"/>
                <w:i/>
                <w:sz w:val="20"/>
                <w:szCs w:val="20"/>
              </w:rPr>
              <w:t xml:space="preserve"> до </w:t>
            </w:r>
            <w:r>
              <w:rPr>
                <w:rFonts w:cs="Arial"/>
                <w:i/>
                <w:sz w:val="20"/>
                <w:szCs w:val="20"/>
              </w:rPr>
              <w:t>1,6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В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3332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защит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Комбинированный пуск по напряжению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вольтметровая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блокировка).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двойных замыканий на землю.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минимального напряжения.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 с контролем тока.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минимального тока.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обратной мощности.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минимальной частоты.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тепловой</w:t>
            </w:r>
            <w:r>
              <w:rPr>
                <w:rFonts w:cs="Arial"/>
                <w:b/>
                <w:sz w:val="20"/>
                <w:szCs w:val="20"/>
              </w:rPr>
              <w:t xml:space="preserve"> перегрузки.</w:t>
            </w:r>
          </w:p>
        </w:tc>
      </w:tr>
      <w:tr>
        <w:trPr>
          <w:trHeight w:val="50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автоматики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Определение режима работы.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Выполнение команд АЧР и ЧАПВ.</w:t>
            </w:r>
          </w:p>
        </w:tc>
      </w:tr>
      <w:tr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</w:t>
            </w:r>
            <w:r>
              <w:rPr>
                <w:rFonts w:cs="Arial"/>
                <w:b/>
                <w:sz w:val="20"/>
                <w:szCs w:val="20"/>
              </w:rPr>
              <w:t>оматика управления выключателем.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цепей.</w:t>
            </w:r>
          </w:p>
        </w:tc>
      </w:tr>
      <w:tr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сигнализации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Учет механического и коммутационного ресурса выключателя.</w:t>
            </w:r>
          </w:p>
        </w:tc>
      </w:tr>
      <w:tr>
        <w:trPr>
          <w:trHeight w:val="82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Функция измерения и обработки электрических и технологических параметров присоединения (функция </w:t>
            </w:r>
            <w:proofErr w:type="gramStart"/>
            <w:r>
              <w:rPr>
                <w:rFonts w:cs="Arial"/>
                <w:sz w:val="20"/>
                <w:szCs w:val="20"/>
              </w:rPr>
              <w:t>СИ)*</w:t>
            </w:r>
            <w:proofErr w:type="gramEnd"/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  <w:r>
              <w:rPr>
                <w:sz w:val="20"/>
                <w:szCs w:val="20"/>
              </w:rPr>
              <w:t>Первичная м</w:t>
            </w:r>
            <w:r>
              <w:rPr>
                <w:sz w:val="20"/>
                <w:szCs w:val="20"/>
              </w:rPr>
              <w:t>етрологическая поверка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3338374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</w:tr>
      <w:tr>
        <w:trPr>
          <w:trHeight w:val="3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4607344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>
        <w:trPr>
          <w:trHeight w:val="293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line="240" w:lineRule="auto"/>
              <w:ind w:firstLine="0"/>
              <w:rPr>
                <w:rFonts w:cs="Arial"/>
                <w:sz w:val="8"/>
                <w:szCs w:val="8"/>
              </w:rPr>
            </w:pPr>
            <w:r>
              <w:object w:dxaOrig="2036" w:dyaOrig="170">
                <v:shape id="_x0000_i1029" type="#_x0000_t75" style="width:98.25pt;height:4.5pt" o:ole="">
                  <v:imagedata r:id="rId8" o:title=""/>
                </v:shape>
                <o:OLEObject Type="Embed" ProgID="Visio.Drawing.11" ShapeID="_x0000_i1029" DrawAspect="Content" ObjectID="_1642833981" r:id="rId13"/>
              </w:objec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 наличии данной функции необходимо указать уточняющую информацию в приложении А.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8"/>
          <w:szCs w:val="8"/>
        </w:rPr>
      </w:pPr>
    </w:p>
    <w:p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Дополнительное о</w:t>
      </w:r>
      <w:r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>
        <w:trPr>
          <w:trHeight w:val="129"/>
        </w:trPr>
        <w:tc>
          <w:tcPr>
            <w:tcW w:w="4219" w:type="pct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 мм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>
              <w:rPr>
                <w:rFonts w:cs="Arial"/>
                <w:sz w:val="20"/>
                <w:szCs w:val="20"/>
                <w:lang w:val="en-US"/>
              </w:rPr>
              <w:t>Industrial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Ethernet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6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>
        <w:trPr>
          <w:trHeight w:val="284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>
              <w:rPr>
                <w:rFonts w:cs="Arial"/>
                <w:sz w:val="20"/>
                <w:szCs w:val="20"/>
              </w:rPr>
              <w:t xml:space="preserve">даптер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>
              <w:rPr>
                <w:rFonts w:cs="Arial"/>
                <w:sz w:val="20"/>
                <w:szCs w:val="20"/>
                <w:lang w:val="en-US"/>
              </w:rPr>
              <w:t>Notebook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41"/>
        </w:trPr>
        <w:tc>
          <w:tcPr>
            <w:tcW w:w="5000" w:type="pct"/>
            <w:gridSpan w:val="4"/>
            <w:vAlign w:val="center"/>
          </w:tcPr>
          <w:p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30" type="#_x0000_t75" style="width:98.25pt;height:3pt" o:ole="">
                  <v:imagedata r:id="rId8" o:title=""/>
                </v:shape>
                <o:OLEObject Type="Embed" ProgID="Visio.Drawing.11" ShapeID="_x0000_i1030" DrawAspect="Content" ObjectID="_1642833982" r:id="rId14"/>
              </w:objec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 </w:t>
            </w:r>
            <w:r>
              <w:rPr>
                <w:rFonts w:cs="Arial"/>
                <w:sz w:val="14"/>
                <w:szCs w:val="14"/>
              </w:rPr>
              <w:t>Для прокладки вне помещения, в условиях сильных электромагнитных п</w:t>
            </w:r>
            <w:r>
              <w:rPr>
                <w:rFonts w:cs="Arial"/>
                <w:sz w:val="14"/>
                <w:szCs w:val="14"/>
              </w:rPr>
              <w:t>олей и при 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</w:t>
            </w:r>
            <w:r>
              <w:rPr>
                <w:rFonts w:cs="Arial"/>
                <w:sz w:val="14"/>
                <w:szCs w:val="14"/>
              </w:rPr>
              <w:t xml:space="preserve"> Выбирается при организации локальной сети по интерфейсу </w:t>
            </w:r>
            <w:r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*** </w:t>
            </w:r>
            <w:r>
              <w:rPr>
                <w:rFonts w:cs="Arial"/>
                <w:sz w:val="14"/>
                <w:szCs w:val="14"/>
              </w:rPr>
              <w:t>Для прокладки внутри помещения в условиях обычных электромагнитных</w:t>
            </w:r>
            <w:r>
              <w:rPr>
                <w:rFonts w:cs="Arial"/>
                <w:sz w:val="14"/>
                <w:szCs w:val="14"/>
              </w:rPr>
              <w:t xml:space="preserve"> полей и небольшой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**** </w:t>
            </w:r>
            <w:r>
              <w:rPr>
                <w:rFonts w:cs="Arial"/>
                <w:sz w:val="14"/>
                <w:szCs w:val="14"/>
              </w:rPr>
              <w:t>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>
        <w:trPr>
          <w:trHeight w:val="556"/>
        </w:trPr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указываются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>
              <w:rPr>
                <w:rFonts w:cs="Arial"/>
                <w:sz w:val="14"/>
                <w:szCs w:val="14"/>
              </w:rPr>
              <w:t xml:space="preserve"> «</w:t>
            </w:r>
            <w:r>
              <w:rPr>
                <w:rFonts w:cs="Arial"/>
                <w:sz w:val="14"/>
                <w:szCs w:val="14"/>
                <w:lang w:val="x-none"/>
              </w:rPr>
              <w:t>доп</w:t>
            </w:r>
            <w:r>
              <w:rPr>
                <w:rFonts w:cs="Arial"/>
                <w:sz w:val="14"/>
                <w:szCs w:val="14"/>
              </w:rPr>
              <w:t>олнительные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>
              <w:rPr>
                <w:rFonts w:cs="Arial"/>
                <w:sz w:val="14"/>
                <w:szCs w:val="14"/>
              </w:rPr>
              <w:t>».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150733436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190001314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 w:val="0"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  <w:p>
            <w:pPr>
              <w:pStyle w:val="af5"/>
              <w:rPr>
                <w:sz w:val="14"/>
                <w:szCs w:val="14"/>
              </w:rPr>
            </w:pP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</w:pPr>
    </w:p>
    <w:p>
      <w:pPr>
        <w:pStyle w:val="usual"/>
      </w:pPr>
      <w:r>
        <w:br w:type="page"/>
      </w:r>
    </w:p>
    <w:p>
      <w:pPr>
        <w:pStyle w:val="af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А</w:t>
      </w:r>
    </w:p>
    <w:p>
      <w:pPr>
        <w:pStyle w:val="af7"/>
        <w:spacing w:line="240" w:lineRule="auto"/>
        <w:ind w:firstLine="0"/>
        <w:jc w:val="center"/>
        <w:rPr>
          <w:b/>
        </w:rPr>
      </w:pPr>
      <w:r>
        <w:rPr>
          <w:b/>
        </w:rPr>
        <w:t>Информация для организации оперативных блокировок</w:t>
      </w:r>
    </w:p>
    <w:p>
      <w:pPr>
        <w:pStyle w:val="af7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b/>
        </w:rPr>
        <w:t>и/или управления коммутационными аппаратами</w:t>
      </w:r>
    </w:p>
    <w:p>
      <w:pPr>
        <w:pStyle w:val="af7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А.1</w:t>
      </w:r>
      <w:r>
        <w:rPr>
          <w:sz w:val="20"/>
          <w:szCs w:val="20"/>
        </w:rPr>
        <w:t xml:space="preserve"> – Дискретные входы терминала №__*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9352"/>
      </w:tblGrid>
      <w:tr>
        <w:trPr>
          <w:trHeight w:hRule="exact" w:val="340"/>
          <w:tblHeader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№</w:t>
            </w: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дискретного входа</w:t>
            </w: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</w:tbl>
    <w:p>
      <w:pPr>
        <w:pStyle w:val="31"/>
        <w:spacing w:before="20" w:line="240" w:lineRule="auto"/>
        <w:ind w:right="-28" w:firstLine="0"/>
        <w:rPr>
          <w:rFonts w:cs="Arial"/>
          <w:sz w:val="18"/>
          <w:szCs w:val="22"/>
        </w:rPr>
      </w:pPr>
    </w:p>
    <w:p>
      <w:pPr>
        <w:pStyle w:val="af7"/>
        <w:spacing w:line="240" w:lineRule="auto"/>
        <w:ind w:right="-1" w:firstLine="0"/>
        <w:rPr>
          <w:sz w:val="18"/>
        </w:rPr>
      </w:pPr>
      <w:r>
        <w:rPr>
          <w:sz w:val="18"/>
        </w:rPr>
        <w:t>*</w:t>
      </w:r>
      <w:r>
        <w:rPr>
          <w:sz w:val="18"/>
        </w:rPr>
        <w:t> - 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>
      <w:pPr>
        <w:rPr>
          <w:rFonts w:cs="Arial"/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af7"/>
        <w:spacing w:after="12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логики оперативных блокировок</w:t>
      </w:r>
    </w:p>
    <w:p>
      <w:pPr>
        <w:pStyle w:val="af7"/>
        <w:spacing w:after="120" w:line="240" w:lineRule="auto"/>
        <w:ind w:right="0" w:firstLine="0"/>
        <w:jc w:val="left"/>
        <w:rPr>
          <w:b/>
          <w:szCs w:val="20"/>
        </w:rPr>
      </w:pPr>
    </w:p>
    <w:p>
      <w:pPr>
        <w:pStyle w:val="usual"/>
        <w:tabs>
          <w:tab w:val="left" w:pos="284"/>
        </w:tabs>
        <w:spacing w:line="240" w:lineRule="auto"/>
        <w:ind w:firstLine="0"/>
      </w:pPr>
    </w:p>
    <w:sectPr>
      <w:footerReference w:type="even" r:id="rId15"/>
      <w:headerReference w:type="first" r:id="rId16"/>
      <w:footerReference w:type="first" r:id="rId17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  <w:r>
      <w:t>Редакция от 21.04.2015</w:t>
    </w: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0D20BD"/>
    <w:multiLevelType w:val="multilevel"/>
    <w:tmpl w:val="77B87078"/>
    <w:numStyleLink w:val="stylenumbering0"/>
  </w:abstractNum>
  <w:abstractNum w:abstractNumId="9">
    <w:nsid w:val="1ED876F6"/>
    <w:multiLevelType w:val="multilevel"/>
    <w:tmpl w:val="E744BCCE"/>
    <w:numStyleLink w:val="figure3"/>
  </w:abstractNum>
  <w:abstractNum w:abstractNumId="10">
    <w:nsid w:val="2EE24D0E"/>
    <w:multiLevelType w:val="multilevel"/>
    <w:tmpl w:val="290C2A5C"/>
    <w:numStyleLink w:val="style0"/>
  </w:abstractNum>
  <w:abstractNum w:abstractNumId="11">
    <w:nsid w:val="332F4AF7"/>
    <w:multiLevelType w:val="multilevel"/>
    <w:tmpl w:val="858E326C"/>
    <w:numStyleLink w:val="stylenumbering1"/>
  </w:abstractNum>
  <w:abstractNum w:abstractNumId="12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552D"/>
    <w:multiLevelType w:val="multilevel"/>
    <w:tmpl w:val="693ECE70"/>
    <w:numStyleLink w:val="a"/>
  </w:abstractNum>
  <w:abstractNum w:abstractNumId="15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1">
    <w:nsid w:val="76267470"/>
    <w:multiLevelType w:val="multilevel"/>
    <w:tmpl w:val="958CB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19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10"/>
  </w:num>
  <w:num w:numId="19">
    <w:abstractNumId w:val="4"/>
  </w:num>
  <w:num w:numId="20">
    <w:abstractNumId w:val="21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1940F79E-5B9E-4212-BCBD-4D1F13AC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4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3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  <w:style w:type="paragraph" w:customStyle="1" w:styleId="afa">
    <w:name w:val="Обычный без отступа"/>
    <w:basedOn w:val="a0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</w:rPr>
  </w:style>
  <w:style w:type="paragraph" w:styleId="31">
    <w:name w:val="Body Text Indent 3"/>
    <w:basedOn w:val="a0"/>
    <w:link w:val="32"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4352-4F29-4BE0-BD27-A17DB8FF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141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Кузнецова Мария Димитриевна</cp:lastModifiedBy>
  <cp:revision>43</cp:revision>
  <cp:lastPrinted>2016-11-09T09:01:00Z</cp:lastPrinted>
  <dcterms:created xsi:type="dcterms:W3CDTF">2016-10-04T10:54:00Z</dcterms:created>
  <dcterms:modified xsi:type="dcterms:W3CDTF">2020-02-10T06:59:00Z</dcterms:modified>
</cp:coreProperties>
</file>